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200" w:line="240" w:lineRule="auto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Reinvención de los viajes y el sector hospitalario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: así las tendencias que darán un nuevo rostro al turismo en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00" w:lineRule="auto"/>
        <w:ind w:left="720" w:hanging="360"/>
        <w:jc w:val="both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El sector se encuentra en una etapa de reinvención acelerada que está trayendo nuevas oportunidades de desarrollo, lo que cambiará radicalmente la forma de viajar a partir del 2022.</w:t>
      </w:r>
    </w:p>
    <w:p w:rsidR="00000000" w:rsidDel="00000000" w:rsidP="00000000" w:rsidRDefault="00000000" w:rsidRPr="00000000" w14:paraId="00000003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 pandemia cambió el paradigma sobre cómo la gente viaja, vive y trabaja. En 2021 vimos como los sistemas híbridos y los equipos globales permitieron a muchos profesionales trabajar desde ‘donde sea’, por lo que es probable que veamos a esta tendencia consolidarse el próximo año. Así mismo, la denominada “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Gran Renuncia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” (fenómeno que llevó a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4 millones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 personas a renunciar a su empleo voluntariamente a causa de la pandemia), dio un nuevo impulso al trabajo remoto para todos estos nuevos trabajadores independientes, mientras que el avance de la vacunación en diversos países han ayudado a que los eventos corporativos y los viajes de negocios ya muestren signos de recuperación, dando así al turismo un panorama positivo para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Para Nico Barawid, CEO y cofundador de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Casai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startup latinoamericana de hospitalidad fundada en México que ofrece sofisticadas estadías con amenidades del hogar en las mejores zonas de México y Brasil,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el sector se encuentra en una etapa de reinvención acelerada en donde están surgiendo nuevas oportunidades de crecimiento y desarrollo; el siguiente año conoceremos un nuevo rostro del turismo capaz de ofrecer a viajeros autenticidad, profesionalismo y la seguridad que necesitan para seguir descubriendo el mundo, ya sea que viajen por placer o negocios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”. </w:t>
        <w:br w:type="textWrapping"/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Las necesidades del viajero de antes son diferentes a las del mundo de hoy. Precisamente, el cambio que trajo la pandemia es lo que ha permitido que conceptos como el de Airbnb evolucionen para dar lugar a nuevos modelos como el de Casai donde, de acuerdo con Barawid, “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se fusiona lo mejor de otras ofertas de hospedaje, se profesionaliza y transforma en una experiencia que se centra en los viajeros de hoy, ya sea que pasen una noche o meses fuera de casa; más que un lugar donde dormir, buscan un lugar donde sientan que pueden vivir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 esto en mente,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Nico Barawid nos comparte cuáles serán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las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tendencias que darán un nuevo rostro al turismo en 2022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La reivindicación de las largas estancias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Uno de los cambios más significativos ha sido en la cultura del nomadismo digital: la posibilidad de trabajar desde cualquier espacio ha dado lugar a un incremento de profesionales, CEOs y emprendedores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asentándose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por largos períodos de tiempo en distintas ciudades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alrededor del mundo. Por tanto, es muy probable esperar que esta tendencia se reivindique en 2022, pues se pronostica que para finales del año los profesionales remotos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aumentarán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un 47%, por lo que el alojamiento para satisfacer sus necesidades de trabajo será crucial.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Cultura con un enfoque “Glocal”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 WTTC señala que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 70% de 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os viajeros planean gastar más dinero en sus viajes en 2022 que en los últimos cinco años tras un largo tiempo de resguardo. Por su parte, un estudio de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IPG Mediabrands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establece que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7 de cada 10 personas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desean por fin salir de vacaciones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para descubrir a fondo la cultura de cada país. En este sentido, se verá reforzada la forma en la que las empresas sumerjan a los viajeros a la cultura local, lo cual será crucial para la recuperación económica de países fuertemente golpeados por la pandemia.</w:t>
      </w:r>
    </w:p>
    <w:p w:rsidR="00000000" w:rsidDel="00000000" w:rsidP="00000000" w:rsidRDefault="00000000" w:rsidRPr="00000000" w14:paraId="0000000C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Lealtad reimaginada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 acuerdo con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Accenture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los deseos y expectativas de los viajeros han evolucionado durante el último año: los ‘puntos y millas’ ofrecidos por aerolíneas y hoteles han dejado de convencer a las personas de emprender su nueva travesía. Frente a esto, las compañías tendrán que acudir a su capacidad de adaptación para capturar nuevas oportunidades como recompensas en forma de membresías exclusivas, el acceso a servicios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premium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así como amenidades o experiencias más cómodas y lujosas, los cuales pueden ser un factor detonante para todo tipo de viajes (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ocio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o negocio).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u w:val="single"/>
          <w:rtl w:val="0"/>
        </w:rPr>
        <w:t xml:space="preserve">Un nuevo “networking”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Accenture también ha señalado algunos de los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cambios más radicales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en los viajes de negocios,  entre ellos la manera en cómo las compañías construirán relaciones ahora que las condiciones comiencen a ser más flexibles: muchos viajeros se encuentran reevaluando sus prioridades y patrones de viaje anteriores a la pandemia, y ahora se espera que pueden hacer networking en cualquier lugar, directamente desde su estadía, con conexión a internet de alta velocidad o bien en un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hub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habilitado para llevar a cabo todo tipo de reu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nione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Esto llega en un momento clave para la gestión de gastos corporativos durante los viajes de negocio, pues un análisis de la firma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Kruze Consulting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muestra que el gasto de las startups en servicios de alojamiento como Airbnb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casi se ha triplicado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respecto a su inversión en renta de oficinas y espacios de trabajo, el cual se calcula por 21 mil dólares trimestrales. En este sentido, también se espera que los eventos corporativos ahora se enfoquen en grupos pequeños y en brindar a los asistentes experiencias auténticas.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Rule="auto"/>
        <w:ind w:lef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Sin duda será un año desafiante para el sector, pues las compañías tendrán que adaptarse más rápido que nunca si quieren inspirar a cada vez más personas a empacar de nuevo para viajar, empezando por la seguridad, garantías y amenidades de una estancia que responda a sus nuevas necesidades.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Rule="auto"/>
        <w:ind w:left="0" w:firstLine="0"/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200" w:lineRule="auto"/>
        <w:ind w:left="0" w:firstLine="0"/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before="200" w:lineRule="auto"/>
        <w:ind w:left="0" w:firstLine="0"/>
        <w:jc w:val="both"/>
        <w:rPr>
          <w:rFonts w:ascii="Work Sans" w:cs="Work Sans" w:eastAsia="Work Sans" w:hAnsi="Work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rFonts w:ascii="Helvetica Neue" w:cs="Helvetica Neue" w:eastAsia="Helvetica Neue" w:hAnsi="Helvetica Neue"/>
        <w:b w:val="1"/>
        <w:i w:val="1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-63499</wp:posOffset>
          </wp:positionV>
          <wp:extent cx="875714" cy="3429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5714" cy="342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ccenture.com/us-en/blogs/compass-travel-blog/future-of-business-travel" TargetMode="External"/><Relationship Id="rId10" Type="http://schemas.openxmlformats.org/officeDocument/2006/relationships/hyperlink" Target="https://www.accenture.com/us-en/insights/travel/loyalty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skift.com/2021/08/20/startups-now-spend-more-on-airbnb-than-rent-for-offic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bsbusiness.school/actualidad/informes-de-investigacion/informe-obs-el-turismo-del-final-de-la-pandemia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statista.com/chart/26186/number-of-people-quitting-their-jobs-in-the-united-states/#:~:text=According%20to%20the%20latest%20JOLTS,known%20as%20the%20Great%20Resignation." TargetMode="External"/><Relationship Id="rId7" Type="http://schemas.openxmlformats.org/officeDocument/2006/relationships/hyperlink" Target="https://casai.com/es?currency=MXN" TargetMode="External"/><Relationship Id="rId8" Type="http://schemas.openxmlformats.org/officeDocument/2006/relationships/hyperlink" Target="https://www.gartner.com/en/newsroom/press-releases/2021-10-18-gartner-identifies-three-key-focus-areas-for-cios-to-drive-val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